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593C75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Финансијски менаџмент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2D2C21">
        <w:rPr>
          <w:rFonts w:ascii="Calibri" w:hAnsi="Calibri"/>
          <w:b/>
          <w:sz w:val="28"/>
          <w:szCs w:val="28"/>
          <w:u w:val="single"/>
        </w:rPr>
        <w:t>6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2D2C21">
        <w:rPr>
          <w:rFonts w:ascii="Calibri" w:hAnsi="Calibri"/>
          <w:b/>
          <w:sz w:val="28"/>
          <w:szCs w:val="28"/>
          <w:u w:val="single"/>
        </w:rPr>
        <w:t>7</w:t>
      </w:r>
    </w:p>
    <w:p w:rsidR="00AE2970" w:rsidRPr="00542C44" w:rsidRDefault="00542C44" w:rsidP="00AE2970">
      <w:pPr>
        <w:jc w:val="center"/>
        <w:rPr>
          <w:rFonts w:ascii="Calibri" w:hAnsi="Calibri"/>
          <w:b/>
          <w:sz w:val="28"/>
          <w:szCs w:val="28"/>
        </w:rPr>
      </w:pPr>
      <w:r w:rsidRPr="00542C44">
        <w:rPr>
          <w:rFonts w:ascii="Calibri" w:hAnsi="Calibri"/>
          <w:b/>
          <w:sz w:val="28"/>
          <w:szCs w:val="28"/>
        </w:rPr>
        <w:t>академске студије</w:t>
      </w:r>
    </w:p>
    <w:p w:rsidR="004E74F0" w:rsidRPr="004E74F0" w:rsidRDefault="004E74F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6318B" w:rsidRPr="00EE15A7" w:rsidRDefault="00F6318B" w:rsidP="00AE2970">
      <w:pPr>
        <w:rPr>
          <w:b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Финансијски менаџмент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трећа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шести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2D2C21">
        <w:rPr>
          <w:rFonts w:ascii="Calibri" w:hAnsi="Calibri"/>
          <w:sz w:val="22"/>
          <w:szCs w:val="22"/>
          <w:lang w:val="en-US"/>
        </w:rPr>
        <w:t>45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="00FA5033">
        <w:rPr>
          <w:rFonts w:ascii="Calibri" w:hAnsi="Calibri"/>
          <w:sz w:val="22"/>
          <w:szCs w:val="22"/>
          <w:lang w:val="sr-Cyrl-CS"/>
        </w:rPr>
        <w:t>8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0628A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941955" w:rsidRDefault="00941955" w:rsidP="00AE29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FA5033" w:rsidRDefault="001D2C16" w:rsidP="00FA5033">
      <w:pPr>
        <w:jc w:val="both"/>
        <w:rPr>
          <w:rFonts w:asciiTheme="minorHAnsi" w:hAnsiTheme="minorHAnsi"/>
          <w:sz w:val="22"/>
          <w:szCs w:val="22"/>
        </w:rPr>
      </w:pP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Циљ предмета Финансијски менаџмент је да се студентима омогући овладавање основним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знањима из области пословних финансија. Студенти ће бити оспособљени да разумеју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принципе и инструменте финансирања, инвестирања и управљања имовином у предузећу.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6878A8" w:rsidRDefault="006878A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Pr="000E0428" w:rsidRDefault="006878A8" w:rsidP="006878A8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 и садржај предмета</w:t>
      </w:r>
    </w:p>
    <w:p w:rsidR="006878A8" w:rsidRPr="000E0428" w:rsidRDefault="006878A8" w:rsidP="006878A8">
      <w:pPr>
        <w:jc w:val="both"/>
        <w:rPr>
          <w:rFonts w:ascii="Calibri" w:hAnsi="Calibri"/>
          <w:bCs/>
          <w:sz w:val="22"/>
          <w:szCs w:val="22"/>
        </w:rPr>
      </w:pPr>
    </w:p>
    <w:p w:rsidR="006878A8" w:rsidRPr="006878A8" w:rsidRDefault="006878A8" w:rsidP="006878A8">
      <w:pPr>
        <w:pStyle w:val="1"/>
        <w:rPr>
          <w:rFonts w:asciiTheme="minorHAnsi" w:hAnsiTheme="minorHAnsi"/>
        </w:rPr>
      </w:pPr>
      <w:r w:rsidRPr="006878A8">
        <w:rPr>
          <w:rFonts w:asciiTheme="minorHAnsi" w:hAnsiTheme="minorHAnsi"/>
        </w:rPr>
        <w:t>У дванаест поглавља овог уџбеника представљене су релевантне области пословних финансија. У првом поглављу уоквирен је појам и предмет пословних финансија, укључујући форме предузећа у Србији, елементе корпоративног управљања и циљеве предузећа. У другом делу (Финансијско извештавање) представљени су и објашњени финансијски извештаји (биланс стања, биланс успеха и остали, укључујући и најновији – извештај о осталом резултату), према домаћим рачуноводственим принципима и законима. Тиме је створена основа за анализу финансијских извештаја (трећи део), чији најважнији део представља рацио анализа ликвидности, солвентности, профитабилности и др. Од четвртог дела окрећемо се буџетирању и најпре представљмо концепт временске вредности новца и његову примену у утврђивању цена власничких и дужничких хартија од вредности. У петом делу, да бисмо утврдили дисконтну стопу, проучавамо неризичну каматну стопу, премије које се на њу додају, тржишну премију ризика, специфични и системски ризик, да бисмо дошли до трошка дужничког и сопственог капитала и, коначно, просечне цене капитала за предузеће. Пети део завршавамо анализом оптималне финансијске структуре, од теоријских до практичних концепата. У шестом делу објашњавамо срж буџетирања и анализе инвестиционих пројеката: критеријуме за одлучивање, новчане токове које треба дисконтовати, анализу осетљивости, преломну тачку и левериџ (пословни, финансијски и укупни). Седми део бави се управљањем обртном имовином (залихама, потраживањима, новцем), да би у осмом приказали изазове финансирања за мала и велик</w:t>
      </w:r>
      <w:r>
        <w:rPr>
          <w:rFonts w:asciiTheme="minorHAnsi" w:hAnsiTheme="minorHAnsi"/>
        </w:rPr>
        <w:t>а</w:t>
      </w:r>
      <w:r w:rsidRPr="006878A8">
        <w:rPr>
          <w:rFonts w:asciiTheme="minorHAnsi" w:hAnsiTheme="minorHAnsi"/>
        </w:rPr>
        <w:t xml:space="preserve"> предузећа на тржишту дуга и власничког капитала, на кратак, средњи и дуги рок (уз навођење регулативе и искустава на нашем тржишту). У деветом делу дајемо оквир за разматрање политике дивиденди у предузећу. Одлучили смо да у десетом делу представимо порезе и друге јавне намете који оптерећују предузеће, иако се, сматрамо неоправдано, по правилу ова тема заобилази у уџбеницима о пословним финансијама. У једанаестом следе елементи два приступа евалуације (вредновања) предузећа: дисконтовање слободних новчаних токова и мултипликатори. Коначно, у дванаестом делу дајемо преглед начина за укрупњавање предузећа (припајања и преузимања, тј. мерџери и аквизиције), али и за преживљавање или организовано гашење предузећа (стечај и слични процеси).</w:t>
      </w:r>
    </w:p>
    <w:p w:rsidR="006878A8" w:rsidRPr="006878A8" w:rsidRDefault="006878A8" w:rsidP="006878A8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</w:t>
      </w:r>
      <w:r w:rsidR="002432DA">
        <w:rPr>
          <w:rFonts w:ascii="Calibri" w:hAnsi="Calibri"/>
          <w:bCs/>
          <w:sz w:val="22"/>
          <w:szCs w:val="22"/>
          <w:lang w:val="sr-Cyrl-CS"/>
        </w:rPr>
        <w:t>Финансијски менаџмент</w:t>
      </w:r>
      <w:r>
        <w:rPr>
          <w:rFonts w:ascii="Calibri" w:hAnsi="Calibri"/>
          <w:bCs/>
          <w:sz w:val="22"/>
          <w:szCs w:val="22"/>
          <w:lang w:val="sr-Cyrl-CS"/>
        </w:rPr>
        <w:t xml:space="preserve"> одржаваће с</w:t>
      </w:r>
      <w:r w:rsidR="00587AE6">
        <w:rPr>
          <w:rFonts w:ascii="Calibri" w:hAnsi="Calibri"/>
          <w:bCs/>
          <w:sz w:val="22"/>
          <w:szCs w:val="22"/>
          <w:lang w:val="sr-Cyrl-CS"/>
        </w:rPr>
        <w:t>е једном недељно у трајању од т</w:t>
      </w:r>
      <w:r>
        <w:rPr>
          <w:rFonts w:ascii="Calibri" w:hAnsi="Calibri"/>
          <w:bCs/>
          <w:sz w:val="22"/>
          <w:szCs w:val="22"/>
          <w:lang w:val="sr-Cyrl-CS"/>
        </w:rPr>
        <w:t>ри 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 xml:space="preserve">Уводни час/Појам </w:t>
      </w:r>
      <w:r w:rsidR="002432DA">
        <w:rPr>
          <w:rFonts w:ascii="Calibri" w:hAnsi="Calibri"/>
          <w:iCs/>
          <w:sz w:val="22"/>
          <w:szCs w:val="22"/>
          <w:lang w:val="sr-Cyrl-CS"/>
        </w:rPr>
        <w:t>и предмет пословних финансија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Финансијско извештавање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Анализа финансијских извештаја</w:t>
      </w:r>
    </w:p>
    <w:p w:rsid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Анализа финансијских извештаја/Временска вредност новца и цене хартија од   </w:t>
      </w:r>
    </w:p>
    <w:p w:rsidR="00B14EE5" w:rsidRPr="002432DA" w:rsidRDefault="002432DA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</w:t>
      </w:r>
      <w:r w:rsidR="004E58EB"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>вредности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Временска вредност новца и цене хартија од вредности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2432DA">
        <w:rPr>
          <w:rFonts w:ascii="Calibri" w:hAnsi="Calibri"/>
          <w:b/>
          <w:iCs/>
          <w:sz w:val="22"/>
          <w:szCs w:val="22"/>
          <w:lang w:val="en-US"/>
        </w:rPr>
        <w:t>1</w:t>
      </w:r>
      <w:r w:rsidR="00D164C3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2D2C21">
        <w:rPr>
          <w:rFonts w:ascii="Calibri" w:hAnsi="Calibri"/>
          <w:b/>
          <w:iCs/>
          <w:sz w:val="22"/>
          <w:szCs w:val="22"/>
          <w:lang w:val="en-US"/>
        </w:rPr>
        <w:t>2017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7441B6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91</w:t>
      </w:r>
      <w:r w:rsidR="007441B6" w:rsidRPr="004C6C99">
        <w:rPr>
          <w:rFonts w:ascii="Calibri" w:hAnsi="Calibri"/>
          <w:b/>
          <w:iCs/>
          <w:sz w:val="22"/>
          <w:szCs w:val="22"/>
        </w:rPr>
        <w:t>.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     Ризик, принос и цена капитала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2432DA">
        <w:rPr>
          <w:rFonts w:ascii="Calibri" w:hAnsi="Calibri"/>
          <w:iCs/>
          <w:sz w:val="22"/>
          <w:szCs w:val="22"/>
          <w:lang w:val="sr-Cyrl-CS"/>
        </w:rPr>
        <w:t>Ризик, принос и цена капитала/Буџетирање и анализа пројеката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Буџетирање и анализа пројеката/Управљање обртном имовином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D164C3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D164C3">
        <w:rPr>
          <w:rFonts w:ascii="Calibri" w:hAnsi="Calibri"/>
          <w:b/>
          <w:iCs/>
          <w:sz w:val="22"/>
          <w:szCs w:val="22"/>
          <w:lang w:val="en-US"/>
        </w:rPr>
        <w:t>20.04.2017</w:t>
      </w:r>
      <w:r w:rsidR="00D164C3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D164C3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96</w:t>
      </w:r>
      <w:r w:rsidR="00D164C3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D164C3" w:rsidRPr="004C6C99">
        <w:rPr>
          <w:rFonts w:ascii="Calibri" w:hAnsi="Calibri"/>
          <w:b/>
          <w:iCs/>
          <w:sz w:val="22"/>
          <w:szCs w:val="22"/>
        </w:rPr>
        <w:t>1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75</w:t>
      </w:r>
      <w:r w:rsidR="00D164C3" w:rsidRPr="004C6C99">
        <w:rPr>
          <w:rFonts w:ascii="Calibri" w:hAnsi="Calibri"/>
          <w:b/>
          <w:iCs/>
          <w:sz w:val="22"/>
          <w:szCs w:val="22"/>
        </w:rPr>
        <w:t>.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B14EE5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>
        <w:rPr>
          <w:rFonts w:ascii="Calibri" w:hAnsi="Calibri"/>
          <w:iCs/>
          <w:sz w:val="22"/>
          <w:szCs w:val="22"/>
          <w:lang w:val="sr-Cyrl-CS"/>
        </w:rPr>
        <w:t>Финансирање предузећа/Политика дивиденди</w:t>
      </w:r>
    </w:p>
    <w:p w:rsidR="004E74F0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58EB">
        <w:rPr>
          <w:rFonts w:ascii="Calibri" w:hAnsi="Calibri"/>
          <w:iCs/>
          <w:sz w:val="22"/>
          <w:szCs w:val="22"/>
          <w:lang w:val="sr-Cyrl-CS"/>
        </w:rPr>
        <w:t>Порези и финансијски менаџмент</w:t>
      </w:r>
    </w:p>
    <w:p w:rsidR="00B14EE5" w:rsidRPr="00B14EE5" w:rsidRDefault="00B14EE5" w:rsidP="004E58E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58EB">
        <w:rPr>
          <w:rFonts w:ascii="Calibri" w:hAnsi="Calibri"/>
          <w:iCs/>
          <w:sz w:val="22"/>
          <w:szCs w:val="22"/>
          <w:lang w:val="sr-Cyrl-CS"/>
        </w:rPr>
        <w:t>Пословно и финансијско преструктурирање</w:t>
      </w:r>
    </w:p>
    <w:p w:rsidR="004E58EB" w:rsidRDefault="00B14EE5" w:rsidP="0045419B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174F90">
        <w:rPr>
          <w:rFonts w:ascii="Calibri" w:hAnsi="Calibri"/>
          <w:b/>
          <w:iCs/>
          <w:sz w:val="22"/>
          <w:szCs w:val="22"/>
        </w:rPr>
        <w:t>2</w:t>
      </w:r>
      <w:r w:rsidR="002D2C21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174F90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2D2C21">
        <w:rPr>
          <w:rFonts w:ascii="Calibri" w:hAnsi="Calibri"/>
          <w:b/>
          <w:iCs/>
          <w:sz w:val="22"/>
          <w:szCs w:val="22"/>
        </w:rPr>
        <w:t>7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176</w:t>
      </w:r>
      <w:r w:rsidR="007441B6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краја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2D2C21">
        <w:rPr>
          <w:rFonts w:ascii="Calibri" w:hAnsi="Calibri"/>
          <w:b/>
          <w:iCs/>
          <w:sz w:val="22"/>
          <w:szCs w:val="22"/>
        </w:rPr>
        <w:t>1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.06.201</w:t>
      </w:r>
      <w:r w:rsidR="002D2C21">
        <w:rPr>
          <w:rFonts w:ascii="Calibri" w:hAnsi="Calibri"/>
          <w:b/>
          <w:iCs/>
          <w:sz w:val="22"/>
          <w:szCs w:val="22"/>
          <w:lang w:val="en-US"/>
        </w:rPr>
        <w:t>7</w:t>
      </w:r>
      <w:r w:rsidR="00201365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201365">
        <w:rPr>
          <w:rFonts w:ascii="Calibri" w:hAnsi="Calibri"/>
          <w:b/>
          <w:iCs/>
          <w:sz w:val="22"/>
          <w:szCs w:val="22"/>
          <w:lang w:val="en-US"/>
        </w:rPr>
        <w:t xml:space="preserve"> 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</w:t>
      </w:r>
      <w:r w:rsidR="004E58EB">
        <w:rPr>
          <w:rFonts w:ascii="Calibri" w:hAnsi="Calibri"/>
          <w:iCs/>
          <w:sz w:val="22"/>
          <w:szCs w:val="22"/>
          <w:lang w:val="sr-Cyrl-CS"/>
        </w:rPr>
        <w:t>Финансијски менаџмент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</w:t>
      </w:r>
      <w:r w:rsidR="006878A8">
        <w:rPr>
          <w:rFonts w:ascii="Calibri" w:hAnsi="Calibri"/>
          <w:iCs/>
          <w:sz w:val="22"/>
          <w:szCs w:val="22"/>
          <w:lang w:val="sr-Cyrl-CS"/>
        </w:rPr>
        <w:t xml:space="preserve"> и задаци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6878A8" w:rsidRDefault="006878A8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B712BA">
        <w:rPr>
          <w:rFonts w:ascii="Calibri" w:hAnsi="Calibri"/>
          <w:iCs/>
          <w:sz w:val="22"/>
          <w:szCs w:val="22"/>
          <w:lang w:val="sr-Cyrl-CS"/>
        </w:rPr>
        <w:t xml:space="preserve">, према испитним питањима. </w:t>
      </w:r>
      <w:r w:rsidR="007441B6">
        <w:rPr>
          <w:rFonts w:ascii="Calibri" w:hAnsi="Calibri"/>
          <w:iCs/>
          <w:sz w:val="22"/>
          <w:szCs w:val="22"/>
          <w:lang w:val="sr-Cyrl-CS"/>
        </w:rPr>
        <w:t>Градиво које није у испитним питањима није потребно за припрему колоквијума и испита.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максимална оцена која може бити остварена овим начином полагања испита. 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200B" w:rsidRPr="005C72E3" w:rsidRDefault="009E200B" w:rsidP="009E200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које</w:t>
      </w:r>
      <w:r w:rsidR="005C72E3">
        <w:rPr>
          <w:rFonts w:ascii="Calibri" w:hAnsi="Calibri"/>
          <w:iCs/>
          <w:sz w:val="22"/>
          <w:szCs w:val="22"/>
          <w:lang w:val="sr-Cyrl-CS"/>
        </w:rPr>
        <w:t xml:space="preserve"> се односи на први део градива (не важи за полагање првог колоквијума у </w:t>
      </w:r>
      <w:r w:rsidR="005C72E3"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>На испиту такође извлаче три испитна питања од чега су два из истог (другог или трећег) дела градива. Студент сам бира део из к</w:t>
      </w:r>
      <w:r w:rsidR="0022632D">
        <w:rPr>
          <w:rFonts w:ascii="Calibri" w:hAnsi="Calibri"/>
          <w:iCs/>
          <w:sz w:val="22"/>
          <w:szCs w:val="22"/>
          <w:lang w:val="sr-Cyrl-CS"/>
        </w:rPr>
        <w:t>ога извлачи два испитна питања.</w:t>
      </w:r>
      <w:r w:rsidR="0022632D">
        <w:rPr>
          <w:rFonts w:ascii="Calibri" w:hAnsi="Calibri"/>
          <w:iCs/>
          <w:sz w:val="22"/>
          <w:szCs w:val="22"/>
        </w:rPr>
        <w:t xml:space="preserve"> </w:t>
      </w:r>
      <w:r w:rsidR="007441B6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  <w:r w:rsidR="005C72E3">
        <w:rPr>
          <w:rFonts w:ascii="Calibri" w:hAnsi="Calibri"/>
          <w:iCs/>
          <w:sz w:val="22"/>
          <w:szCs w:val="22"/>
        </w:rPr>
        <w:t xml:space="preserve">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испитним питањима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7441B6" w:rsidRDefault="007441B6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lastRenderedPageBreak/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6878A8" w:rsidRDefault="006878A8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који жели да оствари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на завршном испиту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максималну оцену 6 или 7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B451B5">
        <w:rPr>
          <w:rFonts w:ascii="Calibri" w:hAnsi="Calibri"/>
          <w:iCs/>
          <w:sz w:val="22"/>
          <w:szCs w:val="22"/>
          <w:lang w:val="sr-Cyrl-CS"/>
        </w:rPr>
        <w:t xml:space="preserve"> на </w:t>
      </w:r>
      <w:r w:rsidR="00092DDA">
        <w:rPr>
          <w:rFonts w:ascii="Calibri" w:hAnsi="Calibri"/>
          <w:iCs/>
          <w:sz w:val="22"/>
          <w:szCs w:val="22"/>
          <w:lang w:val="sr-Cyrl-CS"/>
        </w:rPr>
        <w:t>испиту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полаже према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смањеном броју испитних питања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која су посебно обележена у списку испитних питања.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Студенти који одговарају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без ограничења у погледу најниже и највише коначне оцене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испит спремају по </w:t>
      </w:r>
      <w:r w:rsidR="00092DDA" w:rsidRPr="00092DDA">
        <w:rPr>
          <w:rFonts w:ascii="Calibri" w:hAnsi="Calibri"/>
          <w:b/>
          <w:iCs/>
          <w:sz w:val="22"/>
          <w:szCs w:val="22"/>
          <w:lang w:val="sr-Cyrl-CS"/>
        </w:rPr>
        <w:t>комплетном списку испитних питања</w:t>
      </w:r>
      <w:r w:rsidR="00092DDA">
        <w:rPr>
          <w:rFonts w:ascii="Calibri" w:hAnsi="Calibri"/>
          <w:iCs/>
          <w:sz w:val="22"/>
          <w:szCs w:val="22"/>
          <w:lang w:val="sr-Cyrl-CS"/>
        </w:rPr>
        <w:t>.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FE573A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Обавеза се односи и на студенте који полажу за оцену 6 или 7, с тим што је број испитних питања у том случају мањи у све три коверте. </w:t>
      </w:r>
    </w:p>
    <w:p w:rsidR="004277A3" w:rsidRDefault="00FE573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9E2CD6">
        <w:rPr>
          <w:rFonts w:ascii="Calibri" w:hAnsi="Calibri"/>
          <w:b/>
          <w:iCs/>
          <w:sz w:val="22"/>
          <w:szCs w:val="22"/>
          <w:lang w:val="sr-Cyrl-CS"/>
        </w:rPr>
        <w:t xml:space="preserve"> 201</w:t>
      </w:r>
      <w:r w:rsidR="00201365">
        <w:rPr>
          <w:rFonts w:ascii="Calibri" w:hAnsi="Calibri"/>
          <w:b/>
          <w:iCs/>
          <w:sz w:val="22"/>
          <w:szCs w:val="22"/>
        </w:rPr>
        <w:t>8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Default="00341AD0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>
        <w:rPr>
          <w:rFonts w:ascii="Calibri" w:hAnsi="Calibri"/>
          <w:sz w:val="22"/>
          <w:szCs w:val="22"/>
          <w:lang w:val="sr-Cyrl-CS" w:eastAsia="en-US"/>
        </w:rPr>
        <w:t xml:space="preserve">Др </w:t>
      </w:r>
      <w:r w:rsidR="004E58EB">
        <w:rPr>
          <w:rFonts w:ascii="Calibri" w:hAnsi="Calibri"/>
          <w:sz w:val="22"/>
          <w:szCs w:val="22"/>
          <w:lang w:val="sr-Cyrl-CS" w:eastAsia="en-US"/>
        </w:rPr>
        <w:t>Сања Вучковић и Др Владимир Вучковић „Финансијски менаџмент“, Мег</w:t>
      </w:r>
      <w:r w:rsidR="001F4714">
        <w:rPr>
          <w:rFonts w:ascii="Calibri" w:hAnsi="Calibri"/>
          <w:sz w:val="22"/>
          <w:szCs w:val="22"/>
          <w:lang w:val="sr-Cyrl-CS" w:eastAsia="en-US"/>
        </w:rPr>
        <w:t>атренд универзитет, 2015. год</w:t>
      </w:r>
      <w:r w:rsidR="004E58EB">
        <w:rPr>
          <w:rFonts w:ascii="Calibri" w:hAnsi="Calibri"/>
          <w:sz w:val="22"/>
          <w:szCs w:val="22"/>
          <w:lang w:val="sr-Cyrl-CS" w:eastAsia="en-US"/>
        </w:rPr>
        <w:t>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E58EB" w:rsidRDefault="004E58EB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en-U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9D0BE7" w:rsidRPr="002D6510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9D0BE7" w:rsidRPr="002D6510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@nezbit.edu.rs</w:t>
        </w:r>
      </w:hyperlink>
    </w:p>
    <w:p w:rsidR="009E2CD6" w:rsidRDefault="009E2CD6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P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9D67D5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 xml:space="preserve">ИСПИТНА ПИТАЊА ИЗ ПРЕДМЕТА </w:t>
      </w:r>
      <w:r w:rsidR="009D67D5">
        <w:rPr>
          <w:rFonts w:ascii="Calibri" w:hAnsi="Calibri"/>
          <w:b/>
          <w:sz w:val="28"/>
          <w:szCs w:val="28"/>
          <w:lang w:val="sr-Cyrl-CS"/>
        </w:rPr>
        <w:t>ФИНАНСИЈСКИ МЕНАЏМЕНТ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DB2DAD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DB2DAD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за оцену 6</w:t>
      </w:r>
      <w:r w:rsidRPr="00DB2DAD">
        <w:rPr>
          <w:rFonts w:ascii="Calibri" w:hAnsi="Calibri"/>
          <w:sz w:val="24"/>
          <w:szCs w:val="24"/>
          <w:lang w:val="sr-Cyrl-CS"/>
        </w:rPr>
        <w:t xml:space="preserve"> обележена су </w:t>
      </w:r>
      <w:r w:rsidRPr="00BB2282">
        <w:rPr>
          <w:rFonts w:ascii="Calibri" w:hAnsi="Calibri"/>
          <w:b/>
          <w:color w:val="FF0000"/>
          <w:sz w:val="24"/>
          <w:szCs w:val="24"/>
          <w:lang w:val="sr-Cyrl-CS"/>
        </w:rPr>
        <w:t>црвеном бојом</w:t>
      </w:r>
      <w:r w:rsidRPr="00DB2DAD">
        <w:rPr>
          <w:rFonts w:ascii="Calibri" w:hAnsi="Calibri"/>
          <w:sz w:val="24"/>
          <w:szCs w:val="24"/>
          <w:lang w:val="sr-Cyrl-CS"/>
        </w:rPr>
        <w:t>. Има их укупно 4</w:t>
      </w:r>
      <w:r w:rsidR="00455D2C">
        <w:rPr>
          <w:rFonts w:ascii="Calibri" w:hAnsi="Calibri"/>
          <w:sz w:val="24"/>
          <w:szCs w:val="24"/>
          <w:lang w:val="sr-Cyrl-CS"/>
        </w:rPr>
        <w:t>7</w:t>
      </w:r>
      <w:r w:rsidRPr="00DB2DAD">
        <w:rPr>
          <w:rFonts w:ascii="Calibri" w:hAnsi="Calibri"/>
          <w:sz w:val="24"/>
          <w:szCs w:val="24"/>
          <w:lang w:val="sr-Cyrl-CS"/>
        </w:rPr>
        <w:t>.</w:t>
      </w:r>
    </w:p>
    <w:p w:rsidR="004026AA" w:rsidRPr="00DB2DAD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DB2DAD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до оцене 7</w:t>
      </w:r>
      <w:r w:rsidRPr="00DB2DAD">
        <w:rPr>
          <w:rFonts w:ascii="Calibri" w:hAnsi="Calibri"/>
          <w:sz w:val="24"/>
          <w:szCs w:val="24"/>
          <w:lang w:val="sr-Cyrl-CS"/>
        </w:rPr>
        <w:t xml:space="preserve"> подразумевају питања обележена </w:t>
      </w:r>
      <w:r w:rsidRPr="00BB2282">
        <w:rPr>
          <w:rFonts w:ascii="Calibri" w:hAnsi="Calibri"/>
          <w:b/>
          <w:color w:val="FF0000"/>
          <w:sz w:val="24"/>
          <w:szCs w:val="24"/>
          <w:lang w:val="sr-Cyrl-CS"/>
        </w:rPr>
        <w:t>црвеном бојом</w:t>
      </w:r>
      <w:r w:rsidRPr="00DB2DAD">
        <w:rPr>
          <w:rFonts w:ascii="Calibri" w:hAnsi="Calibri"/>
          <w:sz w:val="24"/>
          <w:szCs w:val="24"/>
          <w:lang w:val="sr-Cyrl-CS"/>
        </w:rPr>
        <w:t xml:space="preserve"> као и питања обележена </w:t>
      </w:r>
      <w:r w:rsidRPr="00BB2282">
        <w:rPr>
          <w:rFonts w:ascii="Calibri" w:hAnsi="Calibri"/>
          <w:b/>
          <w:color w:val="0070C0"/>
          <w:sz w:val="24"/>
          <w:szCs w:val="24"/>
          <w:lang w:val="sr-Cyrl-CS"/>
        </w:rPr>
        <w:t>плавом бојом</w:t>
      </w:r>
      <w:r w:rsidRPr="00DB2DAD">
        <w:rPr>
          <w:rFonts w:ascii="Calibri" w:hAnsi="Calibri"/>
          <w:sz w:val="24"/>
          <w:szCs w:val="24"/>
          <w:lang w:val="sr-Cyrl-CS"/>
        </w:rPr>
        <w:t>. Има их укупно 6</w:t>
      </w:r>
      <w:r w:rsidR="00455D2C">
        <w:rPr>
          <w:rFonts w:ascii="Calibri" w:hAnsi="Calibri"/>
          <w:sz w:val="24"/>
          <w:szCs w:val="24"/>
          <w:lang w:val="sr-Cyrl-CS"/>
        </w:rPr>
        <w:t>2</w:t>
      </w:r>
      <w:r w:rsidRPr="00DB2DAD">
        <w:rPr>
          <w:rFonts w:ascii="Calibri" w:hAnsi="Calibri"/>
          <w:sz w:val="24"/>
          <w:szCs w:val="24"/>
          <w:lang w:val="sr-Cyrl-CS"/>
        </w:rPr>
        <w:t>.</w:t>
      </w:r>
    </w:p>
    <w:p w:rsidR="004026AA" w:rsidRPr="007F4F72" w:rsidRDefault="004026AA" w:rsidP="004026AA">
      <w:pPr>
        <w:tabs>
          <w:tab w:val="left" w:pos="993"/>
        </w:tabs>
        <w:jc w:val="center"/>
        <w:rPr>
          <w:b/>
          <w:color w:val="FF0000"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060287">
      <w:pPr>
        <w:tabs>
          <w:tab w:val="left" w:pos="993"/>
        </w:tabs>
        <w:ind w:left="284"/>
        <w:jc w:val="center"/>
        <w:rPr>
          <w:rFonts w:ascii="Calibri" w:hAnsi="Calibri"/>
          <w:b/>
          <w:sz w:val="28"/>
          <w:szCs w:val="28"/>
        </w:rPr>
      </w:pP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Некад и сад: развојни пут пословних финансија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Финансијски менаџмент као функција у предузећу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Најважније финансијске одлуке у предузећу</w:t>
      </w:r>
    </w:p>
    <w:p w:rsidR="004026AA" w:rsidRPr="00361F8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Правне форме предузећа у Србији: предузетници и ортачко друштво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Командитно друштво и друштво са ограниченом одговорношћу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Акционарско друштво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Корпоративно управљање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Зашто је предузећу потребно дефинисање циља?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Главни финансијски циљ јавног акционарског друштва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Предузеће и финансијско окружење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Корисници финансијских извештаја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Биланс стања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Биланс успеха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Извештај о новчаним токовима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 xml:space="preserve">Извештај о </w:t>
      </w:r>
      <w:r w:rsidR="00060287">
        <w:rPr>
          <w:rFonts w:ascii="Calibri" w:hAnsi="Calibri"/>
          <w:sz w:val="24"/>
          <w:szCs w:val="24"/>
          <w:lang w:val="sr-Cyrl-CS"/>
        </w:rPr>
        <w:t xml:space="preserve">променама на капиталу, Извештај </w:t>
      </w:r>
      <w:r>
        <w:rPr>
          <w:rFonts w:ascii="Calibri" w:hAnsi="Calibri"/>
          <w:sz w:val="24"/>
          <w:szCs w:val="24"/>
          <w:lang w:val="sr-Cyrl-CS"/>
        </w:rPr>
        <w:t xml:space="preserve">о </w:t>
      </w:r>
      <w:r w:rsidR="00724157">
        <w:rPr>
          <w:rFonts w:ascii="Calibri" w:hAnsi="Calibri"/>
          <w:sz w:val="24"/>
          <w:szCs w:val="24"/>
          <w:lang w:val="sr-Cyrl-CS"/>
        </w:rPr>
        <w:t xml:space="preserve">осталом резултату и Напомене уз </w:t>
      </w:r>
      <w:r>
        <w:rPr>
          <w:rFonts w:ascii="Calibri" w:hAnsi="Calibri"/>
          <w:sz w:val="24"/>
          <w:szCs w:val="24"/>
          <w:lang w:val="sr-Cyrl-CS"/>
        </w:rPr>
        <w:t>финансијске извештаје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Екстерна ревизија финансијских извештаја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О финансијској анализи, Хоризонтална и вертикална анализа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анализа ликвидности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задужености и рацио дугорочне задужености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покрића сталне имовине и рацио покрића обртне имовине НОК-ом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обрта пословне имовине, сопственог капитала и обртне имовине</w:t>
      </w:r>
    </w:p>
    <w:p w:rsidR="004026AA" w:rsidRPr="00361F8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Рацио обрта залиха, потраживања од купаца и обавеза према добављачима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Стопа нето пословног добитка и нето добитка после опорезивања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Стопа приноса на пословну имовину и сопствени капитал</w:t>
      </w:r>
    </w:p>
    <w:p w:rsidR="004026AA" w:rsidRPr="00361F8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 xml:space="preserve">Принос акционара: добитак по акцији, </w:t>
      </w:r>
      <w:r w:rsidRPr="00361F8C">
        <w:rPr>
          <w:rFonts w:ascii="Calibri" w:hAnsi="Calibri"/>
          <w:i/>
          <w:sz w:val="24"/>
          <w:szCs w:val="24"/>
          <w:lang w:val="en-US"/>
        </w:rPr>
        <w:t>P</w:t>
      </w:r>
      <w:r w:rsidRPr="00361F8C">
        <w:rPr>
          <w:rFonts w:ascii="Calibri" w:hAnsi="Calibri"/>
          <w:i/>
          <w:sz w:val="24"/>
          <w:szCs w:val="24"/>
        </w:rPr>
        <w:t>/E</w:t>
      </w:r>
      <w:r w:rsidRPr="00361F8C">
        <w:rPr>
          <w:rFonts w:ascii="Calibri" w:hAnsi="Calibri"/>
          <w:sz w:val="24"/>
          <w:szCs w:val="24"/>
        </w:rPr>
        <w:t xml:space="preserve"> </w:t>
      </w:r>
      <w:r w:rsidRPr="00361F8C">
        <w:rPr>
          <w:rFonts w:ascii="Calibri" w:hAnsi="Calibri"/>
          <w:sz w:val="24"/>
          <w:szCs w:val="24"/>
          <w:lang w:val="sr-Cyrl-CS"/>
        </w:rPr>
        <w:t xml:space="preserve">и </w:t>
      </w:r>
      <w:r w:rsidRPr="00361F8C">
        <w:rPr>
          <w:rFonts w:ascii="Calibri" w:hAnsi="Calibri"/>
          <w:i/>
          <w:sz w:val="24"/>
          <w:szCs w:val="24"/>
          <w:lang w:val="en-US"/>
        </w:rPr>
        <w:t>P</w:t>
      </w:r>
      <w:r w:rsidRPr="00361F8C">
        <w:rPr>
          <w:rFonts w:ascii="Calibri" w:hAnsi="Calibri"/>
          <w:i/>
          <w:sz w:val="24"/>
          <w:szCs w:val="24"/>
        </w:rPr>
        <w:t>/BV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Дивидендни принос, рацио плаћања дивиденди и укупан принос акционара</w:t>
      </w:r>
    </w:p>
    <w:p w:rsidR="004026AA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Анализа нето обртног капитала</w:t>
      </w:r>
    </w:p>
    <w:p w:rsidR="004026AA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Анализа извештаја о новчаним токовима</w:t>
      </w:r>
    </w:p>
    <w:p w:rsidR="00724157" w:rsidRPr="00724157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Коефицијенти из Извештаја о новчаним токовима: квалитет прихода и показатељи ликвидности и сигурности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Финансијско планирање и финансијска контрола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Временска вредност новца, принципи и основне релације</w:t>
      </w:r>
    </w:p>
    <w:p w:rsidR="00724157" w:rsidRPr="00361F8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Вишеструки различити новчани токови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Вишеструки једнаки новчани токови (ануитети)</w:t>
      </w:r>
    </w:p>
    <w:p w:rsidR="00686572" w:rsidRPr="00455D2C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Цене дужничких хартија од вредности</w:t>
      </w:r>
    </w:p>
    <w:p w:rsidR="00686572" w:rsidRPr="00455D2C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Цене власничких хартија од вредности</w:t>
      </w:r>
    </w:p>
    <w:p w:rsidR="00986C7F" w:rsidRPr="007F4F72" w:rsidRDefault="00986C7F" w:rsidP="00986C7F">
      <w:pPr>
        <w:pStyle w:val="ListParagraph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4026AA" w:rsidRPr="00986C7F" w:rsidRDefault="004026AA" w:rsidP="00986C7F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986C7F">
        <w:rPr>
          <w:rFonts w:ascii="Calibri" w:hAnsi="Calibri"/>
          <w:b/>
          <w:sz w:val="28"/>
          <w:szCs w:val="28"/>
        </w:rPr>
        <w:t>I</w:t>
      </w:r>
      <w:r w:rsidRPr="00986C7F">
        <w:rPr>
          <w:rFonts w:ascii="Calibri" w:hAnsi="Calibri"/>
          <w:b/>
          <w:sz w:val="28"/>
          <w:szCs w:val="28"/>
          <w:lang w:val="en-US"/>
        </w:rPr>
        <w:t>I</w:t>
      </w:r>
      <w:r w:rsidRPr="00986C7F">
        <w:rPr>
          <w:rFonts w:ascii="Calibri" w:hAnsi="Calibri"/>
          <w:b/>
          <w:sz w:val="28"/>
          <w:szCs w:val="28"/>
        </w:rPr>
        <w:t xml:space="preserve"> </w:t>
      </w:r>
      <w:r w:rsidRPr="00986C7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Default="004026AA" w:rsidP="004026AA">
      <w:pPr>
        <w:rPr>
          <w:rFonts w:ascii="Calibri" w:hAnsi="Calibri"/>
          <w:sz w:val="24"/>
          <w:szCs w:val="24"/>
          <w:lang w:val="en-US"/>
        </w:rPr>
      </w:pP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Неризична каматна стопа и премије на ризик, ликвидност и рочност</w:t>
      </w:r>
    </w:p>
    <w:p w:rsidR="004026AA" w:rsidRPr="007F4F7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Израчунавање каматне стопе: прост и амортизовани зајам</w:t>
      </w:r>
    </w:p>
    <w:p w:rsidR="00B120D0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Израчунавање каматне стопе: купонска, дисконтна обвезница и консоли</w:t>
      </w: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Цена акцијског капитала и тржишна премија на ризик</w:t>
      </w: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Инвестициони ризик</w:t>
      </w: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Специфични и системски ризик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Модел одређивања цене капитала (</w:t>
      </w:r>
      <w:r w:rsidRPr="00455D2C">
        <w:rPr>
          <w:rFonts w:ascii="Calibri" w:hAnsi="Calibri"/>
          <w:b/>
          <w:color w:val="FF0000"/>
          <w:sz w:val="24"/>
          <w:szCs w:val="24"/>
          <w:lang w:val="en-US"/>
        </w:rPr>
        <w:t>CAPM)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Просечан трошак капитала (</w:t>
      </w:r>
      <w:r w:rsidR="00F16818" w:rsidRPr="00455D2C">
        <w:rPr>
          <w:rFonts w:ascii="Calibri" w:hAnsi="Calibri"/>
          <w:b/>
          <w:color w:val="FF0000"/>
          <w:sz w:val="24"/>
          <w:szCs w:val="24"/>
          <w:lang w:val="en-US"/>
        </w:rPr>
        <w:t>WACC</w:t>
      </w: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)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Теорија Модиљанија и Милера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Предности задуживања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Недостаци задуживања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Инвестициони критеријуми: нето садашња вредност</w:t>
      </w:r>
    </w:p>
    <w:p w:rsidR="00B62FAF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Инвестициони критеријуми: интерна стопа приноса</w:t>
      </w:r>
    </w:p>
    <w:p w:rsidR="00B62FAF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Инвестициони критеријуми: период повраћаја и индекс профитабилности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Преломна тачка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Пословни левериџ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Финансијски левериџ</w:t>
      </w:r>
    </w:p>
    <w:p w:rsidR="004026AA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Укупни левериџ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Појам обртне имовине и потребе за обртном имовином</w:t>
      </w:r>
    </w:p>
    <w:p w:rsidR="004026AA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Адекватан ниво обртне имовине и правила и начини финансирања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Финансирање обртне имовине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залихама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потраживањима од купаца: кредитни стандарди</w:t>
      </w:r>
    </w:p>
    <w:p w:rsidR="00B62FAF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Управљање потраживањима од купаца: кредитна анализа и кредитна политика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новцем</w:t>
      </w:r>
    </w:p>
    <w:p w:rsidR="004026AA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Управљање краткорочним хартијама од вредности</w:t>
      </w:r>
    </w:p>
    <w:p w:rsidR="00E2702C" w:rsidRDefault="00E2702C" w:rsidP="00E2702C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sz w:val="28"/>
          <w:szCs w:val="28"/>
          <w:lang w:val="sr-Cyrl-CS"/>
        </w:rPr>
      </w:pPr>
    </w:p>
    <w:p w:rsidR="004026AA" w:rsidRPr="00986C7F" w:rsidRDefault="004026AA" w:rsidP="00986C7F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/>
          <w:sz w:val="28"/>
          <w:szCs w:val="28"/>
          <w:lang w:val="sr-Cyrl-CS"/>
        </w:rPr>
      </w:pPr>
      <w:r w:rsidRPr="00986C7F">
        <w:rPr>
          <w:rFonts w:ascii="Calibri" w:hAnsi="Calibri"/>
          <w:b/>
          <w:sz w:val="28"/>
          <w:szCs w:val="28"/>
        </w:rPr>
        <w:t xml:space="preserve">III </w:t>
      </w:r>
      <w:r w:rsidRPr="00986C7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7F4F72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Добављачки кредит, менице и акумулирани расходи</w:t>
      </w:r>
    </w:p>
    <w:p w:rsidR="004026AA" w:rsidRPr="007F4F7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Краткорочно финансирање путем банака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Могућности финансирања на средњи рок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Примарно и секундарно тржиште капитала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Дугорочно финансирање јавних акционарских друштава власничким хартијама од вредности</w:t>
      </w:r>
    </w:p>
    <w:p w:rsidR="00E2702C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Дугорочно финансирање јавних акционарских друштава дужничким хартијама од вредности</w:t>
      </w:r>
    </w:p>
    <w:p w:rsidR="004026AA" w:rsidRPr="007F4F7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Могућности дугорочног финансирања осталих предузећа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Алтернативни извори финансирања малих и средњих предузећа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Процес иницијалне јавне понуде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Теорије о ирелевантности дивиденде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Теорије о релевантности дивиденде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Политика дивиденди у пракси</w:t>
      </w:r>
    </w:p>
    <w:p w:rsidR="004026AA" w:rsidRPr="007F4F7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Дивиденде у акцијама и подела акција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Откуп </w:t>
      </w:r>
      <w:r w:rsidR="00551E97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сопствених </w:t>
      </w: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акција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lastRenderedPageBreak/>
        <w:t>Поступак исплате дивиденди</w:t>
      </w:r>
    </w:p>
    <w:p w:rsidR="00FA71C3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имовину и порез на добит правних лица</w:t>
      </w:r>
    </w:p>
    <w:p w:rsidR="00FA71C3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приход од самосталне делатности и акцизе</w:t>
      </w:r>
    </w:p>
    <w:p w:rsidR="008F6680" w:rsidRPr="00455D2C" w:rsidRDefault="008F668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додату вредност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Порез на зараде и доприноси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Припајања и преузимања, мотиви за преузимање</w:t>
      </w:r>
    </w:p>
    <w:p w:rsidR="004026AA" w:rsidRPr="007F4F7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Финансијски аспекти преузимања и резултати преузимања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Процес преузимања</w:t>
      </w:r>
    </w:p>
    <w:p w:rsidR="004026AA" w:rsidRPr="007F4F7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Преузимање финансирано задуживањем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Дезинвестирање</w:t>
      </w:r>
    </w:p>
    <w:p w:rsidR="004026AA" w:rsidRPr="007F4F72" w:rsidRDefault="00F16818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Стечај и банкротство: разграничење појмова и процес стечаја</w:t>
      </w:r>
    </w:p>
    <w:sectPr w:rsidR="004026AA" w:rsidRPr="007F4F72" w:rsidSect="0006028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EFA07B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95D"/>
    <w:multiLevelType w:val="hybridMultilevel"/>
    <w:tmpl w:val="BD3060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374"/>
    <w:multiLevelType w:val="hybridMultilevel"/>
    <w:tmpl w:val="DA5462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65D9"/>
    <w:multiLevelType w:val="hybridMultilevel"/>
    <w:tmpl w:val="1D467B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C86"/>
    <w:multiLevelType w:val="hybridMultilevel"/>
    <w:tmpl w:val="DBF03D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46B6E"/>
    <w:rsid w:val="000513ED"/>
    <w:rsid w:val="00060287"/>
    <w:rsid w:val="00071A63"/>
    <w:rsid w:val="000761A4"/>
    <w:rsid w:val="00092DDA"/>
    <w:rsid w:val="000B23A5"/>
    <w:rsid w:val="000C1ABD"/>
    <w:rsid w:val="000D789C"/>
    <w:rsid w:val="000E0428"/>
    <w:rsid w:val="000E7734"/>
    <w:rsid w:val="000F7293"/>
    <w:rsid w:val="00103F7D"/>
    <w:rsid w:val="0013373F"/>
    <w:rsid w:val="00156981"/>
    <w:rsid w:val="0016539E"/>
    <w:rsid w:val="00174F90"/>
    <w:rsid w:val="0018700C"/>
    <w:rsid w:val="00191755"/>
    <w:rsid w:val="00195105"/>
    <w:rsid w:val="001B2C97"/>
    <w:rsid w:val="001B3171"/>
    <w:rsid w:val="001C2C10"/>
    <w:rsid w:val="001D2C16"/>
    <w:rsid w:val="001E2809"/>
    <w:rsid w:val="001F4714"/>
    <w:rsid w:val="00201365"/>
    <w:rsid w:val="002018D3"/>
    <w:rsid w:val="00213508"/>
    <w:rsid w:val="0022632D"/>
    <w:rsid w:val="002432DA"/>
    <w:rsid w:val="00247F58"/>
    <w:rsid w:val="002623F9"/>
    <w:rsid w:val="00265453"/>
    <w:rsid w:val="00266DE3"/>
    <w:rsid w:val="0027559F"/>
    <w:rsid w:val="00285592"/>
    <w:rsid w:val="00295F1E"/>
    <w:rsid w:val="00297FAF"/>
    <w:rsid w:val="002A4C5E"/>
    <w:rsid w:val="002C02BE"/>
    <w:rsid w:val="002C2688"/>
    <w:rsid w:val="002C70E1"/>
    <w:rsid w:val="002D2C21"/>
    <w:rsid w:val="002D4195"/>
    <w:rsid w:val="002D4F27"/>
    <w:rsid w:val="002E348D"/>
    <w:rsid w:val="002E665B"/>
    <w:rsid w:val="002F5BC1"/>
    <w:rsid w:val="00302CDE"/>
    <w:rsid w:val="00322916"/>
    <w:rsid w:val="00341AD0"/>
    <w:rsid w:val="00361F8C"/>
    <w:rsid w:val="00366484"/>
    <w:rsid w:val="00396577"/>
    <w:rsid w:val="003B4902"/>
    <w:rsid w:val="003C5E1D"/>
    <w:rsid w:val="003D0790"/>
    <w:rsid w:val="003D0891"/>
    <w:rsid w:val="003E4740"/>
    <w:rsid w:val="003F44EF"/>
    <w:rsid w:val="003F574C"/>
    <w:rsid w:val="004026AA"/>
    <w:rsid w:val="00406687"/>
    <w:rsid w:val="004175A9"/>
    <w:rsid w:val="004277A3"/>
    <w:rsid w:val="00442E39"/>
    <w:rsid w:val="0045419B"/>
    <w:rsid w:val="00455D2C"/>
    <w:rsid w:val="004805C2"/>
    <w:rsid w:val="00483243"/>
    <w:rsid w:val="004C2F69"/>
    <w:rsid w:val="004C6C99"/>
    <w:rsid w:val="004D7F8B"/>
    <w:rsid w:val="004E050A"/>
    <w:rsid w:val="004E58EB"/>
    <w:rsid w:val="004E71B0"/>
    <w:rsid w:val="004E74F0"/>
    <w:rsid w:val="004F60E4"/>
    <w:rsid w:val="00506830"/>
    <w:rsid w:val="005123D2"/>
    <w:rsid w:val="005279A0"/>
    <w:rsid w:val="005415D8"/>
    <w:rsid w:val="00542C44"/>
    <w:rsid w:val="00546302"/>
    <w:rsid w:val="00547806"/>
    <w:rsid w:val="00551E97"/>
    <w:rsid w:val="0055268D"/>
    <w:rsid w:val="0056030F"/>
    <w:rsid w:val="005773DD"/>
    <w:rsid w:val="0058453C"/>
    <w:rsid w:val="005860B0"/>
    <w:rsid w:val="00587AE6"/>
    <w:rsid w:val="00593C75"/>
    <w:rsid w:val="005A4073"/>
    <w:rsid w:val="005A6157"/>
    <w:rsid w:val="005C1B6E"/>
    <w:rsid w:val="005C4B89"/>
    <w:rsid w:val="005C72E3"/>
    <w:rsid w:val="005E438F"/>
    <w:rsid w:val="005F4409"/>
    <w:rsid w:val="005F6EAC"/>
    <w:rsid w:val="0062231B"/>
    <w:rsid w:val="006272C5"/>
    <w:rsid w:val="00631293"/>
    <w:rsid w:val="00660858"/>
    <w:rsid w:val="00666057"/>
    <w:rsid w:val="00686572"/>
    <w:rsid w:val="006878A8"/>
    <w:rsid w:val="006A3BD6"/>
    <w:rsid w:val="006C2E57"/>
    <w:rsid w:val="006C3143"/>
    <w:rsid w:val="006E1C72"/>
    <w:rsid w:val="00717006"/>
    <w:rsid w:val="00724157"/>
    <w:rsid w:val="007355AB"/>
    <w:rsid w:val="007441B6"/>
    <w:rsid w:val="00755E08"/>
    <w:rsid w:val="00762F29"/>
    <w:rsid w:val="007D50A5"/>
    <w:rsid w:val="007F4F72"/>
    <w:rsid w:val="00807B88"/>
    <w:rsid w:val="008138EF"/>
    <w:rsid w:val="00826B0A"/>
    <w:rsid w:val="00836838"/>
    <w:rsid w:val="00846614"/>
    <w:rsid w:val="008A4635"/>
    <w:rsid w:val="008A652E"/>
    <w:rsid w:val="008B23C6"/>
    <w:rsid w:val="008D3C46"/>
    <w:rsid w:val="008D6AED"/>
    <w:rsid w:val="008F1266"/>
    <w:rsid w:val="008F6680"/>
    <w:rsid w:val="00941135"/>
    <w:rsid w:val="00941955"/>
    <w:rsid w:val="00941FEF"/>
    <w:rsid w:val="00951518"/>
    <w:rsid w:val="00975BA6"/>
    <w:rsid w:val="00977350"/>
    <w:rsid w:val="00984308"/>
    <w:rsid w:val="00985D7D"/>
    <w:rsid w:val="00986C7F"/>
    <w:rsid w:val="009952B3"/>
    <w:rsid w:val="00997742"/>
    <w:rsid w:val="009A0C04"/>
    <w:rsid w:val="009D0BE7"/>
    <w:rsid w:val="009D5AEE"/>
    <w:rsid w:val="009D67D5"/>
    <w:rsid w:val="009E200B"/>
    <w:rsid w:val="009E2CD6"/>
    <w:rsid w:val="009E669A"/>
    <w:rsid w:val="009F0C09"/>
    <w:rsid w:val="009F4BC2"/>
    <w:rsid w:val="00A0404F"/>
    <w:rsid w:val="00A149BE"/>
    <w:rsid w:val="00A1620F"/>
    <w:rsid w:val="00A203B5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031D6"/>
    <w:rsid w:val="00B120D0"/>
    <w:rsid w:val="00B14EE5"/>
    <w:rsid w:val="00B35996"/>
    <w:rsid w:val="00B451B5"/>
    <w:rsid w:val="00B62FAF"/>
    <w:rsid w:val="00B712BA"/>
    <w:rsid w:val="00B7780F"/>
    <w:rsid w:val="00B82F39"/>
    <w:rsid w:val="00B92B32"/>
    <w:rsid w:val="00B93205"/>
    <w:rsid w:val="00B93C7F"/>
    <w:rsid w:val="00BA6923"/>
    <w:rsid w:val="00BB2282"/>
    <w:rsid w:val="00BC0D0A"/>
    <w:rsid w:val="00BD62B9"/>
    <w:rsid w:val="00BE12D6"/>
    <w:rsid w:val="00BF1013"/>
    <w:rsid w:val="00C009D4"/>
    <w:rsid w:val="00C07302"/>
    <w:rsid w:val="00C34EBB"/>
    <w:rsid w:val="00C54DF5"/>
    <w:rsid w:val="00C85EB0"/>
    <w:rsid w:val="00CA169C"/>
    <w:rsid w:val="00CC3832"/>
    <w:rsid w:val="00CD1D2E"/>
    <w:rsid w:val="00CE7835"/>
    <w:rsid w:val="00D0581D"/>
    <w:rsid w:val="00D0750E"/>
    <w:rsid w:val="00D108F0"/>
    <w:rsid w:val="00D164C3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A11DE"/>
    <w:rsid w:val="00DB2DAD"/>
    <w:rsid w:val="00DE04E0"/>
    <w:rsid w:val="00E042C2"/>
    <w:rsid w:val="00E21413"/>
    <w:rsid w:val="00E233E9"/>
    <w:rsid w:val="00E2702C"/>
    <w:rsid w:val="00E30C09"/>
    <w:rsid w:val="00E30E88"/>
    <w:rsid w:val="00E62078"/>
    <w:rsid w:val="00E64B95"/>
    <w:rsid w:val="00E7134E"/>
    <w:rsid w:val="00E836FA"/>
    <w:rsid w:val="00E97EAD"/>
    <w:rsid w:val="00EB7FF9"/>
    <w:rsid w:val="00EC425F"/>
    <w:rsid w:val="00EC661F"/>
    <w:rsid w:val="00EC6CAC"/>
    <w:rsid w:val="00ED5D74"/>
    <w:rsid w:val="00ED6E90"/>
    <w:rsid w:val="00EE0A1D"/>
    <w:rsid w:val="00EE0F0D"/>
    <w:rsid w:val="00EE15A7"/>
    <w:rsid w:val="00F0628A"/>
    <w:rsid w:val="00F16818"/>
    <w:rsid w:val="00F5738A"/>
    <w:rsid w:val="00F61FFD"/>
    <w:rsid w:val="00F6318B"/>
    <w:rsid w:val="00F63FB6"/>
    <w:rsid w:val="00F65EB4"/>
    <w:rsid w:val="00F663D6"/>
    <w:rsid w:val="00F675E9"/>
    <w:rsid w:val="00F83CBE"/>
    <w:rsid w:val="00F84ECD"/>
    <w:rsid w:val="00F932A1"/>
    <w:rsid w:val="00F93FC7"/>
    <w:rsid w:val="00FA1EBB"/>
    <w:rsid w:val="00FA5033"/>
    <w:rsid w:val="00FA6FA1"/>
    <w:rsid w:val="00FA71C3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  <w:style w:type="paragraph" w:customStyle="1" w:styleId="1">
    <w:name w:val="текст1"/>
    <w:basedOn w:val="Normal"/>
    <w:next w:val="Normal"/>
    <w:rsid w:val="006878A8"/>
    <w:pPr>
      <w:widowControl/>
      <w:tabs>
        <w:tab w:val="left" w:pos="1134"/>
      </w:tabs>
      <w:autoSpaceDE/>
      <w:autoSpaceDN/>
      <w:adjustRightInd/>
      <w:ind w:firstLine="340"/>
      <w:jc w:val="both"/>
    </w:pPr>
    <w:rPr>
      <w:rFonts w:eastAsiaTheme="minorHAnsi"/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nezbit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0D78-9FB8-4A6B-8257-F9FEAA1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9</cp:revision>
  <cp:lastPrinted>2015-02-08T14:18:00Z</cp:lastPrinted>
  <dcterms:created xsi:type="dcterms:W3CDTF">2017-02-05T09:36:00Z</dcterms:created>
  <dcterms:modified xsi:type="dcterms:W3CDTF">2017-02-06T12:27:00Z</dcterms:modified>
</cp:coreProperties>
</file>